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90" w:rsidRPr="00116275" w:rsidRDefault="00004990" w:rsidP="00004990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>
        <w:rPr>
          <w:b/>
          <w:sz w:val="24"/>
          <w:szCs w:val="24"/>
        </w:rPr>
        <w:t>ické plány učiva  - chemie 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004990" w:rsidRPr="00116275" w:rsidTr="0088656C">
        <w:tc>
          <w:tcPr>
            <w:tcW w:w="1271" w:type="dxa"/>
          </w:tcPr>
          <w:p w:rsidR="00004990" w:rsidRPr="00116275" w:rsidRDefault="00004990" w:rsidP="0088656C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004990" w:rsidRPr="00116275" w:rsidRDefault="00004990" w:rsidP="0088656C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004990" w:rsidRPr="00116275" w:rsidRDefault="00004990" w:rsidP="0088656C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004990" w:rsidRPr="00116275" w:rsidRDefault="00004990" w:rsidP="0088656C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004990" w:rsidTr="0088656C">
        <w:tc>
          <w:tcPr>
            <w:tcW w:w="1271" w:type="dxa"/>
          </w:tcPr>
          <w:p w:rsidR="00004990" w:rsidRDefault="00004990" w:rsidP="0088656C">
            <w:r>
              <w:t xml:space="preserve">Září </w:t>
            </w:r>
          </w:p>
        </w:tc>
        <w:tc>
          <w:tcPr>
            <w:tcW w:w="3259" w:type="dxa"/>
          </w:tcPr>
          <w:p w:rsidR="00004990" w:rsidRPr="00004990" w:rsidRDefault="00B32B59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="00004990" w:rsidRPr="00004990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Pozorování, pokus, bezpečnost práce, vlastnosti látek, změny skupenství</w:t>
            </w:r>
          </w:p>
          <w:p w:rsidR="00004990" w:rsidRDefault="00004990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- </w:t>
            </w:r>
            <w:r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Znám metody – měření, pozorování, pokus</w:t>
            </w:r>
          </w:p>
          <w:p w:rsidR="00004990" w:rsidRDefault="00004990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 vzorec hustoty používám při výpočtech</w:t>
            </w:r>
          </w:p>
          <w:p w:rsidR="00004990" w:rsidRPr="00004990" w:rsidRDefault="00004990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 vím, jak se měří hustota kapalin a pevných látek</w:t>
            </w:r>
          </w:p>
          <w:p w:rsidR="00004990" w:rsidRPr="00004990" w:rsidRDefault="00004990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- </w:t>
            </w:r>
            <w:r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poznávám skupenství a jejich přeměny</w:t>
            </w:r>
          </w:p>
          <w:p w:rsidR="00004990" w:rsidRPr="00004990" w:rsidRDefault="00004990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</w:t>
            </w:r>
            <w:r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znám zásady bezpečné práce</w:t>
            </w:r>
          </w:p>
          <w:p w:rsidR="00004990" w:rsidRPr="00EF5FA8" w:rsidRDefault="00004990" w:rsidP="0000499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004990" w:rsidRDefault="00004990" w:rsidP="0088656C"/>
        </w:tc>
        <w:tc>
          <w:tcPr>
            <w:tcW w:w="2266" w:type="dxa"/>
          </w:tcPr>
          <w:p w:rsidR="00004990" w:rsidRDefault="00004990" w:rsidP="0088656C"/>
        </w:tc>
      </w:tr>
      <w:tr w:rsidR="00004990" w:rsidTr="0088656C">
        <w:tc>
          <w:tcPr>
            <w:tcW w:w="1271" w:type="dxa"/>
          </w:tcPr>
          <w:p w:rsidR="00004990" w:rsidRDefault="00004990" w:rsidP="0088656C">
            <w:r>
              <w:t xml:space="preserve">Říjen </w:t>
            </w:r>
          </w:p>
        </w:tc>
        <w:tc>
          <w:tcPr>
            <w:tcW w:w="3259" w:type="dxa"/>
          </w:tcPr>
          <w:p w:rsidR="00A1533C" w:rsidRPr="00A1533C" w:rsidRDefault="00B32B59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="00A1533C" w:rsidRPr="00A1533C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Směs, koncentrace, roztok, hmotnostní zlomek, rozpustnost látek</w:t>
            </w:r>
          </w:p>
          <w:p w:rsidR="00B32B59" w:rsidRDefault="00B32B59" w:rsidP="00B32B59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-vím co je směs</w:t>
            </w:r>
          </w:p>
          <w:p w:rsidR="00004990" w:rsidRDefault="00B32B59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- </w:t>
            </w:r>
            <w:r w:rsid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</w:t>
            </w:r>
            <w:r w:rsidR="00004990"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rozliší</w:t>
            </w:r>
            <w:r w:rsid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m směs stejnorodou a různorodou </w:t>
            </w:r>
          </w:p>
          <w:p w:rsidR="00004990" w:rsidRDefault="00004990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</w:t>
            </w:r>
            <w:r w:rsid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pojmenuji</w:t>
            </w:r>
            <w:r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druhy směsí</w:t>
            </w:r>
          </w:p>
          <w:p w:rsidR="00004990" w:rsidRDefault="00004990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</w:t>
            </w:r>
            <w:r w:rsid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znám složení roztoku</w:t>
            </w:r>
          </w:p>
          <w:p w:rsidR="00004990" w:rsidRPr="00004990" w:rsidRDefault="00004990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</w:t>
            </w:r>
            <w:r w:rsid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dokáži vypočítat složení roztoku</w:t>
            </w:r>
          </w:p>
          <w:p w:rsidR="00004990" w:rsidRPr="00004990" w:rsidRDefault="00004990" w:rsidP="00004990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</w:t>
            </w:r>
            <w:r w:rsid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pojmenuji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a vysvětlím </w:t>
            </w:r>
            <w:r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rozpustnost, koncentrovaný, zředěný, nasycený, nenasycený roztok</w:t>
            </w:r>
          </w:p>
          <w:p w:rsidR="00004990" w:rsidRPr="00004990" w:rsidRDefault="00A1533C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- </w:t>
            </w:r>
            <w:r w:rsidR="00004990"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zná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="00004990"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vliv teploty, plošného obsahu povrchu na rychlost rozpouštění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látek</w:t>
            </w:r>
          </w:p>
          <w:p w:rsidR="00004990" w:rsidRPr="00004990" w:rsidRDefault="00004990" w:rsidP="00A1533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4990" w:rsidRDefault="00004990" w:rsidP="0088656C"/>
        </w:tc>
        <w:tc>
          <w:tcPr>
            <w:tcW w:w="2266" w:type="dxa"/>
          </w:tcPr>
          <w:p w:rsidR="00004990" w:rsidRDefault="00004990" w:rsidP="0088656C"/>
        </w:tc>
      </w:tr>
      <w:tr w:rsidR="00004990" w:rsidTr="0088656C">
        <w:tc>
          <w:tcPr>
            <w:tcW w:w="1271" w:type="dxa"/>
          </w:tcPr>
          <w:p w:rsidR="00004990" w:rsidRDefault="00004990" w:rsidP="0088656C">
            <w:r>
              <w:t xml:space="preserve">Listopad </w:t>
            </w:r>
          </w:p>
        </w:tc>
        <w:tc>
          <w:tcPr>
            <w:tcW w:w="3259" w:type="dxa"/>
          </w:tcPr>
          <w:p w:rsidR="00A1533C" w:rsidRPr="00A1533C" w:rsidRDefault="00B32B59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="00A1533C" w:rsidRPr="00A1533C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Oddělování složek směsí</w:t>
            </w:r>
            <w:r w:rsidR="00A1533C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, voda, vzduch</w:t>
            </w:r>
          </w:p>
          <w:p w:rsidR="00A1533C" w:rsidRDefault="00A1533C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- </w:t>
            </w:r>
            <w:r w:rsidR="00004990"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zná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="00004990" w:rsidRPr="00004990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princip usazování, filtrace, desti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lace, krystalizace a sublimace</w:t>
            </w:r>
          </w:p>
          <w:p w:rsidR="00A1533C" w:rsidRDefault="00A1533C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- dokážu správně vybrat postup vhodný k oddělování složek směsí</w:t>
            </w:r>
            <w:r w:rsidR="00B32B59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</w:t>
            </w:r>
          </w:p>
          <w:p w:rsidR="00A1533C" w:rsidRPr="00A1533C" w:rsidRDefault="00B32B59" w:rsidP="00A1533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vyjmenuji</w:t>
            </w:r>
            <w:r w:rsidR="00A1533C"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druhy a význam vod podle užití a znečištění</w:t>
            </w:r>
          </w:p>
          <w:p w:rsidR="00A1533C" w:rsidRPr="00B32B59" w:rsidRDefault="00A1533C" w:rsidP="00A1533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zná</w:t>
            </w:r>
            <w:r w:rsidR="00B32B59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hygienické požadavky na pitnou vodu</w:t>
            </w:r>
          </w:p>
          <w:p w:rsidR="00A1533C" w:rsidRPr="00A1533C" w:rsidRDefault="00A1533C" w:rsidP="00A1533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vyjádří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procentový obsah složek vzduchu</w:t>
            </w:r>
          </w:p>
          <w:p w:rsidR="00A1533C" w:rsidRPr="00A1533C" w:rsidRDefault="00A1533C" w:rsidP="00A1533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lastRenderedPageBreak/>
              <w:t>vysvětlí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význam vzduchu jako průmyslové suroviny</w:t>
            </w:r>
          </w:p>
          <w:p w:rsidR="00A1533C" w:rsidRPr="00A1533C" w:rsidRDefault="00A1533C" w:rsidP="00A1533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uvedu</w:t>
            </w:r>
            <w:r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hlavní znečišťovatele vzduchu</w:t>
            </w:r>
          </w:p>
          <w:p w:rsidR="00A1533C" w:rsidRPr="00B32B59" w:rsidRDefault="00A1533C" w:rsidP="00A1533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eastAsia="Lucida Sans Unicode" w:cstheme="minorHAnsi"/>
                <w:sz w:val="24"/>
                <w:szCs w:val="24"/>
                <w:lang w:eastAsia="cs-CZ" w:bidi="cs-CZ"/>
              </w:rPr>
            </w:pPr>
            <w:r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vysvětlí</w:t>
            </w:r>
            <w:r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>m</w:t>
            </w:r>
            <w:r w:rsidRPr="00A1533C">
              <w:rPr>
                <w:rFonts w:eastAsia="Lucida Sans Unicode" w:cstheme="minorHAnsi"/>
                <w:sz w:val="24"/>
                <w:szCs w:val="24"/>
                <w:lang w:eastAsia="cs-CZ" w:bidi="cs-CZ"/>
              </w:rPr>
              <w:t xml:space="preserve"> vznik a význam inverze a smogu</w:t>
            </w:r>
          </w:p>
          <w:p w:rsidR="00004990" w:rsidRPr="00004990" w:rsidRDefault="00004990" w:rsidP="00A1533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004990" w:rsidRDefault="00004990" w:rsidP="0088656C"/>
        </w:tc>
        <w:tc>
          <w:tcPr>
            <w:tcW w:w="2266" w:type="dxa"/>
          </w:tcPr>
          <w:p w:rsidR="00004990" w:rsidRDefault="00004990" w:rsidP="0088656C"/>
        </w:tc>
      </w:tr>
      <w:tr w:rsidR="00892663" w:rsidTr="0088656C">
        <w:tc>
          <w:tcPr>
            <w:tcW w:w="1271" w:type="dxa"/>
          </w:tcPr>
          <w:p w:rsidR="00892663" w:rsidRDefault="00892663" w:rsidP="0088656C">
            <w:r>
              <w:lastRenderedPageBreak/>
              <w:t>Prosinec</w:t>
            </w:r>
          </w:p>
        </w:tc>
        <w:tc>
          <w:tcPr>
            <w:tcW w:w="3259" w:type="dxa"/>
          </w:tcPr>
          <w:p w:rsidR="00892663" w:rsidRPr="001C1391" w:rsidRDefault="00892663" w:rsidP="00892663">
            <w:pPr>
              <w:widowControl w:val="0"/>
              <w:suppressLineNumbers/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 xml:space="preserve">Učivo: </w:t>
            </w:r>
            <w:r w:rsidRPr="001C1391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Částicové složení látek- molekuly, atomy, atomové jádro, protony, neutrony, elektronový obal a jeho změny v chemických reakcích, elektrony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používá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pojmy atom a molekula ve správných souvislostech</w:t>
            </w:r>
          </w:p>
          <w:p w:rsidR="00892663" w:rsidRPr="001C1391" w:rsidRDefault="001C4842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popíšu</w:t>
            </w:r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složení atomu (atomového jádra a elektronového obalu)</w:t>
            </w:r>
          </w:p>
          <w:p w:rsidR="00892663" w:rsidRPr="001C1391" w:rsidRDefault="001C4842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uvedu</w:t>
            </w:r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vztahy mezi počty protonů, elektronů a neutronů v atomu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určí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počet atomů ve vzorci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m pojem protonové číslo a užiji ho k určení 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počtu protonů a elektronů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nakreslí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schéma atomu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odvodí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vznik kationtů a aniontů</w:t>
            </w:r>
          </w:p>
          <w:p w:rsidR="00892663" w:rsidRDefault="00892663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892663" w:rsidRDefault="00892663" w:rsidP="0088656C"/>
        </w:tc>
        <w:tc>
          <w:tcPr>
            <w:tcW w:w="2266" w:type="dxa"/>
          </w:tcPr>
          <w:p w:rsidR="00892663" w:rsidRDefault="00892663" w:rsidP="0088656C"/>
        </w:tc>
      </w:tr>
      <w:tr w:rsidR="00892663" w:rsidTr="0088656C">
        <w:tc>
          <w:tcPr>
            <w:tcW w:w="1271" w:type="dxa"/>
          </w:tcPr>
          <w:p w:rsidR="00892663" w:rsidRDefault="00892663" w:rsidP="0088656C">
            <w:r>
              <w:t>Leden</w:t>
            </w:r>
          </w:p>
        </w:tc>
        <w:tc>
          <w:tcPr>
            <w:tcW w:w="3259" w:type="dxa"/>
          </w:tcPr>
          <w:p w:rsidR="00892663" w:rsidRPr="001C1391" w:rsidRDefault="00892663" w:rsidP="0089266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Učivo: Prvky – názvy, značky, vlastnosti a použití vybraných prvků, skupiny a periody v periodické soustavě chemických prvků, protonové číslo</w:t>
            </w:r>
          </w:p>
          <w:p w:rsidR="00892663" w:rsidRPr="001C1391" w:rsidRDefault="00892663" w:rsidP="0089266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Chemické sloučeniny – chemická vazba, názvosloví jednoduchých anorganických sloučenin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rozdíl mezi atomem a molekulou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rozliší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význam pojmů směs a chemická látka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rozdíl mezi prvkem a sloučeninou</w:t>
            </w:r>
          </w:p>
          <w:p w:rsidR="00892663" w:rsidRPr="001C4842" w:rsidRDefault="001C4842" w:rsidP="00892663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lastRenderedPageBreak/>
              <w:t>uvedu</w:t>
            </w:r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české názvy a značky prvků </w:t>
            </w:r>
            <w:proofErr w:type="spellStart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Ag</w:t>
            </w:r>
            <w:proofErr w:type="spellEnd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Al, Au, Br, C, Ca, Cl, </w:t>
            </w:r>
            <w:proofErr w:type="spellStart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Cu</w:t>
            </w:r>
            <w:proofErr w:type="spellEnd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F, </w:t>
            </w:r>
            <w:proofErr w:type="spellStart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Fe</w:t>
            </w:r>
            <w:proofErr w:type="spellEnd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H, He, </w:t>
            </w:r>
            <w:proofErr w:type="spellStart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Hg</w:t>
            </w:r>
            <w:proofErr w:type="spellEnd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I, K, </w:t>
            </w:r>
            <w:proofErr w:type="spellStart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Li</w:t>
            </w:r>
            <w:proofErr w:type="spellEnd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Mg, </w:t>
            </w:r>
            <w:proofErr w:type="spellStart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Mn</w:t>
            </w:r>
            <w:proofErr w:type="spellEnd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N, Na, Ne, O, P, </w:t>
            </w:r>
            <w:proofErr w:type="spellStart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Pb</w:t>
            </w:r>
            <w:proofErr w:type="spellEnd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</w:t>
            </w:r>
            <w:proofErr w:type="spellStart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Pt</w:t>
            </w:r>
            <w:proofErr w:type="spellEnd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S, Si, </w:t>
            </w:r>
            <w:proofErr w:type="spellStart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Sn</w:t>
            </w:r>
            <w:proofErr w:type="spellEnd"/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, Os</w:t>
            </w: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</w:t>
            </w:r>
            <w:proofErr w:type="spellStart"/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</w:t>
            </w:r>
            <w:proofErr w:type="spellEnd"/>
          </w:p>
          <w:p w:rsidR="00892663" w:rsidRPr="001C1391" w:rsidRDefault="00892663" w:rsidP="00892663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princip uspořádání prvků v PSP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znění periodického zákona</w:t>
            </w:r>
          </w:p>
          <w:p w:rsidR="00892663" w:rsidRPr="001C1391" w:rsidRDefault="00892663" w:rsidP="00892663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rozliší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prvky na kovy, nekovy a polokovy</w:t>
            </w:r>
          </w:p>
          <w:p w:rsidR="00892663" w:rsidRPr="001C1391" w:rsidRDefault="001C4842" w:rsidP="00892663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uvedu</w:t>
            </w:r>
            <w:r w:rsidR="00892663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příklady vlastností a praktického využití vybraných kovů, slitin a nekovů</w:t>
            </w:r>
          </w:p>
          <w:p w:rsidR="00892663" w:rsidRPr="001C1391" w:rsidRDefault="00892663" w:rsidP="0089266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892663" w:rsidRDefault="00892663" w:rsidP="0088656C"/>
        </w:tc>
        <w:tc>
          <w:tcPr>
            <w:tcW w:w="2266" w:type="dxa"/>
          </w:tcPr>
          <w:p w:rsidR="00892663" w:rsidRDefault="00892663" w:rsidP="0088656C"/>
        </w:tc>
      </w:tr>
      <w:tr w:rsidR="00892663" w:rsidTr="0088656C">
        <w:tc>
          <w:tcPr>
            <w:tcW w:w="1271" w:type="dxa"/>
          </w:tcPr>
          <w:p w:rsidR="00892663" w:rsidRDefault="00892663" w:rsidP="0088656C">
            <w:r>
              <w:lastRenderedPageBreak/>
              <w:t>Únor</w:t>
            </w:r>
          </w:p>
        </w:tc>
        <w:tc>
          <w:tcPr>
            <w:tcW w:w="3259" w:type="dxa"/>
          </w:tcPr>
          <w:p w:rsidR="00892663" w:rsidRPr="001C1391" w:rsidRDefault="00892663" w:rsidP="0089266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Učivo: Chemická reakce – zákon zachování hmotnosti, chemické rovnice, látkové množství, molární hmotnost</w:t>
            </w:r>
          </w:p>
          <w:p w:rsidR="00892663" w:rsidRPr="001C1391" w:rsidRDefault="00892663" w:rsidP="0089266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Klasifikace chemických reakcí – slučování, neutralizace, reakce exotermní a endotermní</w:t>
            </w:r>
          </w:p>
          <w:p w:rsidR="00892663" w:rsidRPr="001C1391" w:rsidRDefault="00892663" w:rsidP="0089266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Chemie a elektřina – výroba elektrického proudu chemickou cestou</w:t>
            </w:r>
          </w:p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provedu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jednoduchou chemickou reakci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rozliší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výchozí látky a produkty chemické reakce</w:t>
            </w:r>
          </w:p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zapíši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jednoduché chemické rovnice</w:t>
            </w:r>
          </w:p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formuluji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zákon zachování hmotnosti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opraví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špatně vyčíslenou chemickou rovnici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vyčíslí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jednoduchou chemickou reakci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faktory ovlivňující průběh chemických reakcí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pojem katalyzátor v chemické reakci</w:t>
            </w:r>
          </w:p>
          <w:p w:rsidR="00892663" w:rsidRPr="001C1391" w:rsidRDefault="00892663" w:rsidP="00892663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892663" w:rsidRDefault="00892663" w:rsidP="0088656C"/>
        </w:tc>
        <w:tc>
          <w:tcPr>
            <w:tcW w:w="2266" w:type="dxa"/>
          </w:tcPr>
          <w:p w:rsidR="00892663" w:rsidRDefault="00892663" w:rsidP="0088656C"/>
        </w:tc>
      </w:tr>
      <w:tr w:rsidR="00892663" w:rsidTr="0088656C">
        <w:tc>
          <w:tcPr>
            <w:tcW w:w="1271" w:type="dxa"/>
          </w:tcPr>
          <w:p w:rsidR="00892663" w:rsidRDefault="00892663" w:rsidP="0088656C">
            <w:r>
              <w:t>Březen</w:t>
            </w:r>
          </w:p>
        </w:tc>
        <w:tc>
          <w:tcPr>
            <w:tcW w:w="3259" w:type="dxa"/>
          </w:tcPr>
          <w:p w:rsidR="00892663" w:rsidRPr="001C1391" w:rsidRDefault="001C1391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Učivo: Oxidy – názvosloví, vlastnosti a použití vybraných prakticky významných oxidů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pojem </w:t>
            </w:r>
            <w:r w:rsidRPr="001C1391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oxid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lastRenderedPageBreak/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pravidla názvosloví oxidů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pokouší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se vytvořit vzorec z názvu a naopak</w:t>
            </w:r>
          </w:p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uvedu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význam a užití CO, CO2, SO2, SO3, NO, NO2 a jejich vliv na životní prostředí</w:t>
            </w:r>
          </w:p>
          <w:p w:rsidR="001C1391" w:rsidRPr="001C1391" w:rsidRDefault="001C1391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892663" w:rsidRDefault="00892663" w:rsidP="0088656C"/>
        </w:tc>
        <w:tc>
          <w:tcPr>
            <w:tcW w:w="2266" w:type="dxa"/>
          </w:tcPr>
          <w:p w:rsidR="00892663" w:rsidRDefault="00892663" w:rsidP="0088656C"/>
        </w:tc>
      </w:tr>
      <w:tr w:rsidR="00892663" w:rsidTr="0088656C">
        <w:tc>
          <w:tcPr>
            <w:tcW w:w="1271" w:type="dxa"/>
          </w:tcPr>
          <w:p w:rsidR="00892663" w:rsidRDefault="00892663" w:rsidP="0088656C">
            <w:r>
              <w:lastRenderedPageBreak/>
              <w:t>Duben</w:t>
            </w:r>
          </w:p>
        </w:tc>
        <w:tc>
          <w:tcPr>
            <w:tcW w:w="3259" w:type="dxa"/>
          </w:tcPr>
          <w:p w:rsidR="00892663" w:rsidRPr="001C1391" w:rsidRDefault="001C1391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Učivo: Kyseliny a hydroxidy – kyselost a zásaditost roztoků, vlastnosti, vzorce, názvy a použití vybraných prakticky významných kyselin a hydroxidů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pojem </w:t>
            </w:r>
            <w:r w:rsidRPr="001C1391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kyselina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pravidla názvosloví bezkyslíkatých a kyslíkatých kyselin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vzorec, vlastnosti, význam a užití </w:t>
            </w:r>
            <w:proofErr w:type="spellStart"/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HCl</w:t>
            </w:r>
            <w:proofErr w:type="spellEnd"/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, H2SO4, HNO3</w:t>
            </w:r>
          </w:p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dodržuji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zásady bezpečné práce s kyselinami</w:t>
            </w:r>
          </w:p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poskytnu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první pomoc při poleptání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pojem </w:t>
            </w:r>
            <w:r w:rsidRPr="001C1391">
              <w:rPr>
                <w:rFonts w:ascii="Calibri" w:eastAsia="Lucida Sans Unicode" w:hAnsi="Calibri" w:cs="Tahoma"/>
                <w:b/>
                <w:sz w:val="24"/>
                <w:szCs w:val="24"/>
                <w:lang w:eastAsia="cs-CZ" w:bidi="cs-CZ"/>
              </w:rPr>
              <w:t>hydroxid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pravidla názvosloví hydroxidů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princip výroby hašeného a páleného vápna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vzorec, vlastnosti, význam a užití </w:t>
            </w:r>
            <w:proofErr w:type="spellStart"/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NaOH</w:t>
            </w:r>
            <w:proofErr w:type="spellEnd"/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, KOH, NH4OH, </w:t>
            </w:r>
            <w:proofErr w:type="gramStart"/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Ca(OH</w:t>
            </w:r>
            <w:proofErr w:type="gramEnd"/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)2</w:t>
            </w:r>
          </w:p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uvedu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zásady bezpečné práce s hydroxidy</w:t>
            </w:r>
          </w:p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poskytnu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první pomoc při poleptání</w:t>
            </w:r>
          </w:p>
          <w:p w:rsidR="001C1391" w:rsidRPr="001C1391" w:rsidRDefault="001C1391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892663" w:rsidRDefault="00892663" w:rsidP="0088656C"/>
        </w:tc>
        <w:tc>
          <w:tcPr>
            <w:tcW w:w="2266" w:type="dxa"/>
          </w:tcPr>
          <w:p w:rsidR="00892663" w:rsidRDefault="00892663" w:rsidP="0088656C"/>
        </w:tc>
      </w:tr>
      <w:tr w:rsidR="00892663" w:rsidTr="0088656C">
        <w:tc>
          <w:tcPr>
            <w:tcW w:w="1271" w:type="dxa"/>
          </w:tcPr>
          <w:p w:rsidR="00892663" w:rsidRDefault="00892663" w:rsidP="0088656C">
            <w:r>
              <w:t>Květen</w:t>
            </w:r>
          </w:p>
        </w:tc>
        <w:tc>
          <w:tcPr>
            <w:tcW w:w="3259" w:type="dxa"/>
          </w:tcPr>
          <w:p w:rsidR="00892663" w:rsidRPr="001C1391" w:rsidRDefault="001C1391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  <w:r w:rsidRPr="001C1391"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  <w:t>Učivo: Soli kyslíkaté a nekyslíkaté – vlastnosti, použití vybraných solí, oxidační číslo, názvosloví, vlastnosti a použití prakticky významných halogenidů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pravidla názvosloví solí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rozliší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, které látky patří mezi soli</w:t>
            </w:r>
          </w:p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lastRenderedPageBreak/>
              <w:t>uvedu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příklady použití solí z praxe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vznik kyselých dešťů, zhodnotí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jejich vliv na životní prostředí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vysvětlí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pojmy kyselinotvorný a zásadotvorný oxid</w:t>
            </w:r>
          </w:p>
          <w:p w:rsidR="001C1391" w:rsidRPr="001C1391" w:rsidRDefault="001C1391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892663" w:rsidRDefault="00892663" w:rsidP="0088656C"/>
        </w:tc>
        <w:tc>
          <w:tcPr>
            <w:tcW w:w="2266" w:type="dxa"/>
          </w:tcPr>
          <w:p w:rsidR="00892663" w:rsidRDefault="00892663" w:rsidP="0088656C"/>
        </w:tc>
      </w:tr>
      <w:tr w:rsidR="00892663" w:rsidTr="0088656C">
        <w:tc>
          <w:tcPr>
            <w:tcW w:w="1271" w:type="dxa"/>
          </w:tcPr>
          <w:p w:rsidR="00892663" w:rsidRDefault="00892663" w:rsidP="0088656C">
            <w:r>
              <w:lastRenderedPageBreak/>
              <w:t xml:space="preserve">Červen </w:t>
            </w:r>
          </w:p>
        </w:tc>
        <w:tc>
          <w:tcPr>
            <w:tcW w:w="3259" w:type="dxa"/>
          </w:tcPr>
          <w:p w:rsidR="001C1391" w:rsidRPr="001C1391" w:rsidRDefault="001C4842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orientuji</w:t>
            </w:r>
            <w:r w:rsidR="001C1391"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se na stupnici pH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rozmezí pH kyselin a zásad a změří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pH roztoku indikátorovým papírkem</w:t>
            </w:r>
          </w:p>
          <w:p w:rsidR="001C1391" w:rsidRPr="001C1391" w:rsidRDefault="001C1391" w:rsidP="001C1391">
            <w:pPr>
              <w:widowControl w:val="0"/>
              <w:numPr>
                <w:ilvl w:val="0"/>
                <w:numId w:val="3"/>
              </w:numPr>
              <w:suppressLineNumbers/>
              <w:tabs>
                <w:tab w:val="num" w:pos="125"/>
              </w:tabs>
              <w:suppressAutoHyphens/>
              <w:snapToGrid w:val="0"/>
              <w:ind w:left="125" w:hanging="125"/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</w:pPr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zná</w:t>
            </w:r>
            <w:r w:rsidR="001C4842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>m</w:t>
            </w:r>
            <w:bookmarkStart w:id="0" w:name="_GoBack"/>
            <w:bookmarkEnd w:id="0"/>
            <w:r w:rsidRPr="001C1391">
              <w:rPr>
                <w:rFonts w:ascii="Calibri" w:eastAsia="Lucida Sans Unicode" w:hAnsi="Calibri" w:cs="Tahoma"/>
                <w:sz w:val="24"/>
                <w:szCs w:val="24"/>
                <w:lang w:eastAsia="cs-CZ" w:bidi="cs-CZ"/>
              </w:rPr>
              <w:t xml:space="preserve"> podstatu neutralizace</w:t>
            </w:r>
          </w:p>
          <w:p w:rsidR="00892663" w:rsidRPr="001C1391" w:rsidRDefault="00892663" w:rsidP="00A1533C">
            <w:pPr>
              <w:widowControl w:val="0"/>
              <w:suppressLineNumbers/>
              <w:suppressAutoHyphens/>
              <w:snapToGrid w:val="0"/>
              <w:rPr>
                <w:rFonts w:eastAsia="Lucida Sans Unicode" w:cstheme="minorHAnsi"/>
                <w:b/>
                <w:sz w:val="24"/>
                <w:szCs w:val="24"/>
                <w:lang w:eastAsia="cs-CZ" w:bidi="cs-CZ"/>
              </w:rPr>
            </w:pPr>
          </w:p>
        </w:tc>
        <w:tc>
          <w:tcPr>
            <w:tcW w:w="2266" w:type="dxa"/>
          </w:tcPr>
          <w:p w:rsidR="00892663" w:rsidRDefault="00892663" w:rsidP="0088656C"/>
        </w:tc>
        <w:tc>
          <w:tcPr>
            <w:tcW w:w="2266" w:type="dxa"/>
          </w:tcPr>
          <w:p w:rsidR="00892663" w:rsidRDefault="00892663" w:rsidP="0088656C"/>
        </w:tc>
      </w:tr>
    </w:tbl>
    <w:p w:rsidR="00AA24E5" w:rsidRDefault="001C4842"/>
    <w:sectPr w:rsidR="00AA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30E"/>
    <w:multiLevelType w:val="hybridMultilevel"/>
    <w:tmpl w:val="5DE0D5DA"/>
    <w:lvl w:ilvl="0" w:tplc="C3E271F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A7F2903"/>
    <w:multiLevelType w:val="hybridMultilevel"/>
    <w:tmpl w:val="1DFEE30C"/>
    <w:lvl w:ilvl="0" w:tplc="F644342E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A48A6"/>
    <w:multiLevelType w:val="hybridMultilevel"/>
    <w:tmpl w:val="B638FF76"/>
    <w:lvl w:ilvl="0" w:tplc="F644342E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0"/>
    <w:rsid w:val="00004990"/>
    <w:rsid w:val="000C0B94"/>
    <w:rsid w:val="001C1391"/>
    <w:rsid w:val="001C4842"/>
    <w:rsid w:val="00845768"/>
    <w:rsid w:val="00892663"/>
    <w:rsid w:val="00A1533C"/>
    <w:rsid w:val="00B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533B"/>
  <w15:chartTrackingRefBased/>
  <w15:docId w15:val="{3DEA4058-D74A-44C8-B429-5B4D0119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Hrabáková</dc:creator>
  <cp:keywords/>
  <dc:description/>
  <cp:lastModifiedBy>Martina Hrabáková</cp:lastModifiedBy>
  <cp:revision>6</cp:revision>
  <dcterms:created xsi:type="dcterms:W3CDTF">2020-09-01T08:58:00Z</dcterms:created>
  <dcterms:modified xsi:type="dcterms:W3CDTF">2020-12-02T16:49:00Z</dcterms:modified>
</cp:coreProperties>
</file>